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«Управление проектами»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Эконометрическое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Государственная кадастровая оценка недвижимости</w:t>
            </w:r>
          </w:p>
          <w:p>
            <w:pPr>
              <w:jc w:val="center"/>
              <w:spacing w:after="0" w:line="240" w:lineRule="auto"/>
              <w:rPr>
                <w:sz w:val="22"/>
                <w:szCs w:val="22"/>
              </w:rPr>
            </w:pPr>
            <w:r>
              <w:rPr>
                <w:rFonts w:ascii="Times New Roman" w:hAnsi="Times New Roman" w:cs="Times New Roman"/>
                <w:color w:val="#000000"/>
                <w:sz w:val="22"/>
                <w:szCs w:val="22"/>
              </w:rPr>
              <w:t> Документооборот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Методы моделирования и прогнозирования в экономике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w:t>
            </w:r>
          </w:p>
          <w:p>
            <w:pPr>
              <w:jc w:val="center"/>
              <w:spacing w:after="0" w:line="240" w:lineRule="auto"/>
              <w:rPr>
                <w:sz w:val="22"/>
                <w:szCs w:val="22"/>
              </w:rPr>
            </w:pPr>
            <w:r>
              <w:rPr>
                <w:rFonts w:ascii="Times New Roman" w:hAnsi="Times New Roman" w:cs="Times New Roman"/>
                <w:color w:val="#000000"/>
                <w:sz w:val="22"/>
                <w:szCs w:val="22"/>
              </w:rPr>
              <w:t> Методы выборочных обследований</w:t>
            </w:r>
          </w:p>
          <w:p>
            <w:pPr>
              <w:jc w:val="center"/>
              <w:spacing w:after="0" w:line="240" w:lineRule="auto"/>
              <w:rPr>
                <w:sz w:val="22"/>
                <w:szCs w:val="22"/>
              </w:rPr>
            </w:pPr>
            <w:r>
              <w:rPr>
                <w:rFonts w:ascii="Times New Roman" w:hAnsi="Times New Roman" w:cs="Times New Roman"/>
                <w:color w:val="#000000"/>
                <w:sz w:val="22"/>
                <w:szCs w:val="22"/>
              </w:rPr>
              <w:t> Методы многомерного статистического анализа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Эконометрическое моделирование</w:t>
            </w:r>
          </w:p>
          <w:p>
            <w:pPr>
              <w:jc w:val="center"/>
              <w:spacing w:after="0" w:line="240" w:lineRule="auto"/>
              <w:rPr>
                <w:sz w:val="22"/>
                <w:szCs w:val="22"/>
              </w:rPr>
            </w:pPr>
            <w:r>
              <w:rPr>
                <w:rFonts w:ascii="Times New Roman" w:hAnsi="Times New Roman" w:cs="Times New Roman"/>
                <w:color w:val="#000000"/>
                <w:sz w:val="22"/>
                <w:szCs w:val="22"/>
              </w:rPr>
              <w:t> Бизнес-анализ</w:t>
            </w:r>
          </w:p>
          <w:p>
            <w:pPr>
              <w:jc w:val="center"/>
              <w:spacing w:after="0" w:line="240" w:lineRule="auto"/>
              <w:rPr>
                <w:sz w:val="22"/>
                <w:szCs w:val="22"/>
              </w:rPr>
            </w:pPr>
            <w:r>
              <w:rPr>
                <w:rFonts w:ascii="Times New Roman" w:hAnsi="Times New Roman" w:cs="Times New Roman"/>
                <w:color w:val="#000000"/>
                <w:sz w:val="22"/>
                <w:szCs w:val="22"/>
              </w:rPr>
              <w:t> Оценка ресурсов и результатов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p>
            <w:pPr>
              <w:jc w:val="center"/>
              <w:spacing w:after="0" w:line="240" w:lineRule="auto"/>
              <w:rPr>
                <w:sz w:val="22"/>
                <w:szCs w:val="22"/>
              </w:rPr>
            </w:pPr>
            <w:r>
              <w:rPr>
                <w:rFonts w:ascii="Times New Roman" w:hAnsi="Times New Roman" w:cs="Times New Roman"/>
                <w:color w:val="#000000"/>
                <w:sz w:val="22"/>
                <w:szCs w:val="22"/>
              </w:rPr>
              <w:t> Теория конфликтов</w:t>
            </w:r>
          </w:p>
          <w:p>
            <w:pPr>
              <w:jc w:val="center"/>
              <w:spacing w:after="0" w:line="240" w:lineRule="auto"/>
              <w:rPr>
                <w:sz w:val="22"/>
                <w:szCs w:val="22"/>
              </w:rPr>
            </w:pPr>
            <w:r>
              <w:rPr>
                <w:rFonts w:ascii="Times New Roman" w:hAnsi="Times New Roman" w:cs="Times New Roman"/>
                <w:color w:val="#000000"/>
                <w:sz w:val="22"/>
                <w:szCs w:val="22"/>
              </w:rPr>
              <w:t> Теория межличностной и групповой коммуникации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 в статистических исследованиях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Программы и проекты как средства решения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Программы и проекты как средства решения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Принятие решений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Принятие решений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Принятие решений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Принятие решений в управлении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Программы и проекты как средства решения управленческих задач</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 управленческих задач</w:t>
            </w:r>
          </w:p>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 Основные характеристики проекта . Жизненный цикл и фазы проекта. Особенности управления проектами. Области применения проект-ного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 ственными предприятиями в рамках  контрактов . Проекты по исследованиям, разработ- ке, инжинирингу.. Строительные и другие проекты по созданию основных средств про- изводства . Проекты по информационным системам. Управленческие проекты . Мульти- проекты.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Проекты в системе функционального     и стратегиче-ского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p>
            <w:pPr>
              <w:jc w:val="both"/>
              <w:spacing w:after="0" w:line="240" w:lineRule="auto"/>
              <w:rPr>
                <w:sz w:val="24"/>
                <w:szCs w:val="24"/>
              </w:rPr>
            </w:pPr>
            <w:r>
              <w:rPr>
                <w:rFonts w:ascii="Times New Roman" w:hAnsi="Times New Roman" w:cs="Times New Roman"/>
                <w:color w:val="#000000"/>
                <w:sz w:val="24"/>
                <w:szCs w:val="24"/>
              </w:rPr>
              <w:t>  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 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Окружение проекта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 и его интерпретация. Внутреннее окружение проекта. Влияние окружения на разные типы проектов.</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отношениями со стейкхолдерами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стейкхолдеров проекта. Функции стейкхолдеров проекта.правление отношения- ми со стейкхолдерами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Команда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командного синергизма и эффективность команды.  Развитие проектной коман- ды.  Создание высокоэффективных проектных команд. Управление виртуальными про- ектными командами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Принятие решений в управлении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 Рациональное при-нятие решений в проектном управлении. Личностные факторы в принятии решений. Субъективная рациональность при принятии решений.«Адекватные»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проектами в условиях  неопределенно-сти и риска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 определенность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 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Программы и проекты как средства решения управленческих 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и виды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Проекты в системе функционального     и стратегиче-ского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Окружение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отношениями со стейкхолдерами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Команда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Принятие решений в управлении проектами.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проектами в условиях  неопределенно-сти и риска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Составление сметы и бюджета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Контроль и аудит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Завершение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Выполнение практических заданий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Программы и проекты как средства решения</w:t>
            </w:r>
          </w:p>
          <w:p>
            <w:pPr>
              <w:jc w:val="center"/>
              <w:spacing w:after="0" w:line="240" w:lineRule="auto"/>
              <w:rPr>
                <w:sz w:val="24"/>
                <w:szCs w:val="24"/>
              </w:rPr>
            </w:pPr>
            <w:r>
              <w:rPr>
                <w:rFonts w:ascii="Times New Roman" w:hAnsi="Times New Roman" w:cs="Times New Roman"/>
                <w:b/>
                <w:color w:val="#000000"/>
                <w:sz w:val="24"/>
                <w:szCs w:val="24"/>
              </w:rPr>
              <w:t> управленческих задач</w:t>
            </w:r>
          </w:p>
        </w:tc>
      </w:tr>
      <w:tr>
        <w:trPr>
          <w:trHeight w:hRule="exact" w:val="21.31428"/>
        </w:trPr>
        <w:tc>
          <w:tcPr>
            <w:tcW w:w="9640" w:type="dxa"/>
          </w:tcPr>
          <w:p/>
        </w:tc>
      </w:tr>
      <w:tr>
        <w:trPr>
          <w:trHeight w:hRule="exact" w:val="295.46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 управленческих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проекты и задачи . Основные характеристики проекта . Жизненный цикл и фазы проекта. Особенности управления проектами. Области применения проект-ного управления.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Типы и виды проектов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 ственными предприятиями в рамках  контрактов . Проекты по исследованиям, разработ- ке, инжинирингу.. Строительные и другие проекты по созданию основных средств про- изводства . Проекты по информационным системам. Управленческие проекты . Мульти- проекты.</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Проекты в системе функционального     и стратегиче-ского менеджмента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p>
            <w:pPr>
              <w:jc w:val="left"/>
              <w:spacing w:after="0" w:line="240" w:lineRule="auto"/>
              <w:rPr>
                <w:sz w:val="24"/>
                <w:szCs w:val="24"/>
              </w:rPr>
            </w:pPr>
            <w:r>
              <w:rPr>
                <w:rFonts w:ascii="Times New Roman" w:hAnsi="Times New Roman" w:cs="Times New Roman"/>
                <w:color w:val="#000000"/>
                <w:sz w:val="24"/>
                <w:szCs w:val="24"/>
              </w:rPr>
              <w:t>  Взаимосвязь между управлением проектами и функциональным менеджментом. Управление проектами в системе стратегического управления компанией. Модель и ме- тодология стратегического менеджмента. Стратегия, организационные цели и проекты. Приоритетность проектов в стратегическом управлении . Критерии отбора приоритетных проектов.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Окружение проекта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Ближнее окружение проекта. Дальнее окружение проекта.  Комплексное воздействие факторов внешней среды на проект. Методы исследования внешней среды проекта и его интерпретация. Внутреннее окружение проекта. Влияние окружения на разные типы проектов.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отношениями со стейкхолдерами проекта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стейкхолдеров проекта. Функции стейкхолдеров проекта.правление отношения- ми со стейкхолдерами проекта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Команда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командного синергизма и эффективность команды.  Развитие проектной коман- ды.  Создание высокоэффективных проектных команд. Управление виртуальными про- ектными командами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Принятие решений в управлении проектами.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 Рациональное при-нятие решений в проектном управлении. Личностные факторы в принятии решений. Субъективная рациональность при принятии решений.«Адекватные» решения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Управление проектами в условиях  неопределенно-сти и риска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 определенность окружения проекта как фактор риска.  Технологии управления проектами в условиях риска.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Составление сметы и бюджета проекта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 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Планирование проекта</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Контроль и аудит проекта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Завершение проекта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финансирование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2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2023-2024_ФГОС3++2023_Бак-ОФО-Э(БАиОСИ)(23)_plx_Управление проектами</dc:title>
  <dc:creator>FastReport.NET</dc:creator>
</cp:coreProperties>
</file>